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标识设计应征作品创作者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36"/>
        </w:rPr>
        <w:t>著作权确认书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省职业技能大赛标识设计作品是受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人力资源和社会保障厅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（以下简称“活动主办方”）委托创作设计的作品。根据《中华人民共和国著作权法》以及本次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技能大赛标识设计征集活动规定，应征作品的创作者（以下简称应征者）应当根据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贵州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技能大赛标识设计要求设计作品。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征者承诺和保证其提交的应征作品是原创，不侵犯任何第三方的知识产权以及其他权益，如果有任何第三方向“活动主办方”在上述方面主张权利或者要求赔偿，应征作品创作者应当负责处理并承担“活动主办方”的损失赔偿责任。因第三方主张权利对“活动主办方”产生的任何损失应由应征者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所有提交的应征作品的著作权人为“活动主办方”，除署名权之外，所有提交的应征作品的包括著作权在内的一切知识产权属于“活动主办方”所有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“活动主办方”可以在适当时间、通过适当方式公布应征者的姓名。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应征作品创作者为个人的，请在签章处签名并提供个人的身份证号；为多人团队的，请在签章处依次签名并提供个人的身份证号；为单位的，请在签章处加盖单位有效公章并提供统一社会信用代码。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应征作品创作者同意并遵守以上约定。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50" w:rightChars="-24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应征作品创作者：XXX（身份证号）/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50" w:rightChars="-24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XXXXXX单位（公章）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50" w:rightChars="-24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年    月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60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/>
    <w:bookmarkEnd w:id="0"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D25B5"/>
    <w:rsid w:val="1C8F5F3A"/>
    <w:rsid w:val="3DAD25B5"/>
    <w:rsid w:val="785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paragraph" w:styleId="3">
    <w:name w:val="Body Text"/>
    <w:basedOn w:val="1"/>
    <w:qFormat/>
    <w:uiPriority w:val="0"/>
    <w:rPr>
      <w:sz w:val="2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2021-08-24T03:07:00Z</dcterms:created>
  <dc:creator>月牙城</dc:creator>
  <cp:lastModifiedBy>月牙城</cp:lastModifiedBy>
  <dcterms:modified xsi:type="dcterms:W3CDTF">2021-08-24T03:11:41Z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D081782633B74FCA8325C2DD868EFCAB</vt:lpwstr>
  </property>
</Properties>
</file>